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F3" w:rsidRPr="0096261B" w:rsidRDefault="009626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Государственное 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бюджетное общеобразовательное учреждение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Начальная общеобразовательная 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азрань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6261B">
        <w:rPr>
          <w:lang w:val="ru-RU"/>
        </w:rPr>
        <w:br/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«НОШ №17 г.Назрань»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64"/>
        <w:gridCol w:w="5006"/>
      </w:tblGrid>
      <w:tr w:rsidR="002A60F3" w:rsidRPr="009626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96261B" w:rsidRDefault="0096261B" w:rsidP="0096261B">
            <w:pPr>
              <w:rPr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6261B">
              <w:rPr>
                <w:lang w:val="ru-RU"/>
              </w:rPr>
              <w:br/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6261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«НОШ №17 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азрань»</w:t>
            </w:r>
            <w:r w:rsidRPr="0096261B">
              <w:rPr>
                <w:lang w:val="ru-RU"/>
              </w:rPr>
              <w:br/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96261B" w:rsidRDefault="0096261B" w:rsidP="0096261B">
            <w:pPr>
              <w:ind w:left="720"/>
              <w:rPr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96261B">
              <w:rPr>
                <w:lang w:val="ru-RU"/>
              </w:rPr>
              <w:br/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«НОШ №17 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азрань»</w:t>
            </w:r>
            <w:r w:rsidRPr="0096261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Марзиева Х.А.</w:t>
            </w:r>
            <w:r w:rsidRPr="0096261B">
              <w:rPr>
                <w:lang w:val="ru-RU"/>
              </w:rPr>
              <w:br/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2A60F3" w:rsidRPr="0096261B" w:rsidRDefault="002A60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0F3" w:rsidRPr="0096261B" w:rsidRDefault="009626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96261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«НОШ №17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азрань»</w:t>
      </w:r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 год</w:t>
      </w:r>
    </w:p>
    <w:p w:rsidR="002A60F3" w:rsidRPr="0096261B" w:rsidRDefault="002A60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0F3" w:rsidRDefault="0096261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26"/>
        <w:gridCol w:w="6251"/>
      </w:tblGrid>
      <w:tr w:rsidR="0096261B" w:rsidRPr="00962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96261B" w:rsidRDefault="0096261B" w:rsidP="009626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Государственное 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 общеобразовательное 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Начальная общеобразовательная школа 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азрань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«НОШ №17 г.Назрань»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6261B" w:rsidRPr="00962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96261B" w:rsidRDefault="0096261B">
            <w:pPr>
              <w:rPr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96261B" w:rsidRDefault="009626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Марзиева Ханифа Анатолевна</w:t>
            </w:r>
          </w:p>
        </w:tc>
      </w:tr>
      <w:tr w:rsidR="0096261B" w:rsidRPr="00962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96261B" w:rsidRDefault="0096261B">
            <w:pPr>
              <w:rPr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96261B" w:rsidRDefault="0096261B" w:rsidP="009626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386140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Республика Ингушетия, 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азрань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Почтовая, 32</w:t>
            </w:r>
          </w:p>
        </w:tc>
      </w:tr>
      <w:tr w:rsidR="00962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96261B" w:rsidRDefault="0096261B">
            <w:pPr>
              <w:rPr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8 8732 22 55 82</w:t>
            </w:r>
          </w:p>
        </w:tc>
      </w:tr>
      <w:tr w:rsidR="00962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MHA1963@mail.ru</w:t>
            </w:r>
          </w:p>
        </w:tc>
      </w:tr>
      <w:tr w:rsidR="0096261B" w:rsidRPr="00962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96261B" w:rsidRDefault="0096261B" w:rsidP="009626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Министерство Образования и Науки Республики Ингушетия</w:t>
            </w:r>
          </w:p>
        </w:tc>
      </w:tr>
      <w:tr w:rsidR="00962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 w:rsidP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962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 w:rsidP="009626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000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0400</w:t>
            </w:r>
          </w:p>
        </w:tc>
      </w:tr>
      <w:tr w:rsidR="0096261B" w:rsidRPr="00962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96261B" w:rsidRDefault="0096261B" w:rsidP="005E3DD9">
            <w:pPr>
              <w:rPr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3D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21.11.2017г.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3D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374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5E3D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="005E3D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 w:rsidR="005E3D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0173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срок действия: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3D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2027 года</w:t>
            </w:r>
          </w:p>
        </w:tc>
      </w:tr>
    </w:tbl>
    <w:p w:rsidR="002A60F3" w:rsidRPr="0096261B" w:rsidRDefault="005E3D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«НОШ №17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азрань»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261B" w:rsidRPr="0096261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96261B">
        <w:rPr>
          <w:rFonts w:hAnsi="Times New Roman" w:cs="Times New Roman"/>
          <w:color w:val="000000"/>
          <w:sz w:val="24"/>
          <w:szCs w:val="24"/>
        </w:rPr>
        <w:t> </w:t>
      </w:r>
      <w:r w:rsidR="0096261B" w:rsidRPr="0096261B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 w:rsidR="0096261B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А/О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Насыр-Корт</w:t>
      </w:r>
      <w:proofErr w:type="spellEnd"/>
      <w:r w:rsidR="0096261B" w:rsidRPr="0096261B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проживают в</w:t>
      </w:r>
      <w:r w:rsidR="0096261B">
        <w:rPr>
          <w:rFonts w:hAnsi="Times New Roman" w:cs="Times New Roman"/>
          <w:color w:val="000000"/>
          <w:sz w:val="24"/>
          <w:szCs w:val="24"/>
        </w:rPr>
        <w:t> </w:t>
      </w:r>
      <w:r w:rsidR="0096261B" w:rsidRPr="0096261B">
        <w:rPr>
          <w:rFonts w:hAnsi="Times New Roman" w:cs="Times New Roman"/>
          <w:color w:val="000000"/>
          <w:sz w:val="24"/>
          <w:szCs w:val="24"/>
          <w:lang w:val="ru-RU"/>
        </w:rPr>
        <w:t>домах типовой застройки: 81</w:t>
      </w:r>
      <w:r w:rsidR="0096261B">
        <w:rPr>
          <w:rFonts w:hAnsi="Times New Roman" w:cs="Times New Roman"/>
          <w:color w:val="000000"/>
          <w:sz w:val="24"/>
          <w:szCs w:val="24"/>
        </w:rPr>
        <w:t> </w:t>
      </w:r>
      <w:r w:rsidR="0096261B" w:rsidRPr="0096261B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96261B">
        <w:rPr>
          <w:rFonts w:hAnsi="Times New Roman" w:cs="Times New Roman"/>
          <w:color w:val="000000"/>
          <w:sz w:val="24"/>
          <w:szCs w:val="24"/>
        </w:rPr>
        <w:t> </w:t>
      </w:r>
      <w:r w:rsidR="0096261B" w:rsidRPr="0096261B">
        <w:rPr>
          <w:rFonts w:hAnsi="Times New Roman" w:cs="Times New Roman"/>
          <w:color w:val="000000"/>
          <w:sz w:val="24"/>
          <w:szCs w:val="24"/>
          <w:lang w:val="ru-RU"/>
        </w:rPr>
        <w:t>— рядом со</w:t>
      </w:r>
      <w:r w:rsidR="0096261B">
        <w:rPr>
          <w:rFonts w:hAnsi="Times New Roman" w:cs="Times New Roman"/>
          <w:color w:val="000000"/>
          <w:sz w:val="24"/>
          <w:szCs w:val="24"/>
        </w:rPr>
        <w:t> </w:t>
      </w:r>
      <w:r w:rsidR="0096261B" w:rsidRPr="0096261B">
        <w:rPr>
          <w:rFonts w:hAnsi="Times New Roman" w:cs="Times New Roman"/>
          <w:color w:val="000000"/>
          <w:sz w:val="24"/>
          <w:szCs w:val="24"/>
          <w:lang w:val="ru-RU"/>
        </w:rPr>
        <w:t>Школой, 19</w:t>
      </w:r>
      <w:r w:rsidR="0096261B">
        <w:rPr>
          <w:rFonts w:hAnsi="Times New Roman" w:cs="Times New Roman"/>
          <w:color w:val="000000"/>
          <w:sz w:val="24"/>
          <w:szCs w:val="24"/>
        </w:rPr>
        <w:t> </w:t>
      </w:r>
      <w:r w:rsidR="0096261B" w:rsidRPr="0096261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96261B">
        <w:rPr>
          <w:rFonts w:hAnsi="Times New Roman" w:cs="Times New Roman"/>
          <w:color w:val="000000"/>
          <w:sz w:val="24"/>
          <w:szCs w:val="24"/>
        </w:rPr>
        <w:t> </w:t>
      </w:r>
      <w:r w:rsidR="0096261B" w:rsidRPr="0096261B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96261B">
        <w:rPr>
          <w:rFonts w:hAnsi="Times New Roman" w:cs="Times New Roman"/>
          <w:color w:val="000000"/>
          <w:sz w:val="24"/>
          <w:szCs w:val="24"/>
        </w:rPr>
        <w:t> </w:t>
      </w:r>
      <w:r w:rsidR="0096261B" w:rsidRPr="0096261B">
        <w:rPr>
          <w:rFonts w:hAnsi="Times New Roman" w:cs="Times New Roman"/>
          <w:color w:val="000000"/>
          <w:sz w:val="24"/>
          <w:szCs w:val="24"/>
          <w:lang w:val="ru-RU"/>
        </w:rPr>
        <w:t>близлежащих поселках.</w:t>
      </w:r>
    </w:p>
    <w:p w:rsidR="002A60F3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Школы является реализация общеобразовательных программ </w:t>
      </w:r>
      <w:proofErr w:type="spellStart"/>
      <w:r w:rsidR="005E3DD9">
        <w:rPr>
          <w:rFonts w:hAnsi="Times New Roman" w:cs="Times New Roman"/>
          <w:color w:val="000000"/>
          <w:sz w:val="24"/>
          <w:szCs w:val="24"/>
          <w:lang w:val="ru-RU"/>
        </w:rPr>
        <w:t>начально</w:t>
      </w:r>
      <w:proofErr w:type="spellEnd"/>
      <w:r w:rsidR="005E3D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образования. Также Школа реализует образовательные программы дополнительного образования детей.</w:t>
      </w:r>
    </w:p>
    <w:p w:rsidR="005E3DD9" w:rsidRPr="0096261B" w:rsidRDefault="005E3D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0F3" w:rsidRPr="0096261B" w:rsidRDefault="009626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2A60F3" w:rsidRPr="0096261B" w:rsidRDefault="009626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</w:t>
      </w:r>
      <w:r w:rsidR="005E3D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образования, локальными нормативными актами Школы.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результате введения ограничительных мер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распространением коронавирусной инфекции часть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2020/2021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2021/2022 учебных годах пришлось реализовывать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технологий. Для этого использовались федеральные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региональные информационные ресурсы,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частности, платформа «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Онлайн-образование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» (Моя школа в</w:t>
      </w:r>
      <w:r>
        <w:rPr>
          <w:rFonts w:hAnsi="Times New Roman" w:cs="Times New Roman"/>
          <w:color w:val="000000"/>
          <w:sz w:val="24"/>
          <w:szCs w:val="24"/>
        </w:rPr>
        <w:t> online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36276D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="0036276D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36276D">
        <w:rPr>
          <w:rFonts w:hAnsi="Times New Roman" w:cs="Times New Roman"/>
          <w:color w:val="000000"/>
          <w:sz w:val="24"/>
          <w:szCs w:val="24"/>
          <w:lang w:val="ru-RU"/>
        </w:rPr>
        <w:t>у,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электронная школа, платформа </w:t>
      </w:r>
      <w:r>
        <w:rPr>
          <w:rFonts w:hAnsi="Times New Roman" w:cs="Times New Roman"/>
          <w:color w:val="000000"/>
          <w:sz w:val="24"/>
          <w:szCs w:val="24"/>
        </w:rPr>
        <w:t>Study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итогам освоения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поддержании среднестатистического </w:t>
      </w:r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уровня успеваемости учеников начального уровня общего образования</w:t>
      </w:r>
      <w:proofErr w:type="gram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96261B">
        <w:rPr>
          <w:lang w:val="ru-RU"/>
        </w:rPr>
        <w:br/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96261B">
        <w:rPr>
          <w:lang w:val="ru-RU"/>
        </w:rPr>
        <w:br/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96261B">
        <w:rPr>
          <w:lang w:val="ru-RU"/>
        </w:rPr>
        <w:br/>
      </w:r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96261B">
        <w:rPr>
          <w:lang w:val="ru-RU"/>
        </w:rPr>
        <w:br/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96261B">
        <w:rPr>
          <w:lang w:val="ru-RU"/>
        </w:rPr>
        <w:br/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96261B">
        <w:rPr>
          <w:lang w:val="ru-RU"/>
        </w:rPr>
        <w:br/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96261B">
        <w:rPr>
          <w:lang w:val="ru-RU"/>
        </w:rPr>
        <w:br/>
      </w:r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96261B">
        <w:rPr>
          <w:lang w:val="ru-RU"/>
        </w:rPr>
        <w:br/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96261B">
        <w:rPr>
          <w:lang w:val="ru-RU"/>
        </w:rPr>
        <w:br/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2A60F3" w:rsidRPr="0096261B" w:rsidRDefault="009626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2A60F3" w:rsidRPr="0096261B" w:rsidRDefault="009626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областном конкурсе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антинаркотической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социальной рекламы;</w:t>
      </w:r>
    </w:p>
    <w:p w:rsidR="002A60F3" w:rsidRPr="0096261B" w:rsidRDefault="009626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spellStart"/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spellEnd"/>
      <w:proofErr w:type="gram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60F3" w:rsidRPr="0096261B" w:rsidRDefault="009626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2A60F3" w:rsidRPr="0096261B" w:rsidRDefault="0096261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онлайн-лекции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2A60F3" w:rsidRDefault="0036276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научно-познавательное</w:t>
      </w:r>
      <w:r w:rsidR="0096261B">
        <w:rPr>
          <w:rFonts w:hAnsi="Times New Roman" w:cs="Times New Roman"/>
          <w:color w:val="000000"/>
          <w:sz w:val="24"/>
          <w:szCs w:val="24"/>
        </w:rPr>
        <w:t>;</w:t>
      </w:r>
    </w:p>
    <w:p w:rsidR="002A60F3" w:rsidRDefault="0096261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техническое;</w:t>
      </w:r>
    </w:p>
    <w:p w:rsidR="002A60F3" w:rsidRDefault="0096261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2A60F3" w:rsidRDefault="0096261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2A60F3" w:rsidRDefault="0036276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общественно-полезное</w:t>
      </w:r>
      <w:r w:rsidR="0096261B">
        <w:rPr>
          <w:rFonts w:hAnsi="Times New Roman" w:cs="Times New Roman"/>
          <w:color w:val="000000"/>
          <w:sz w:val="24"/>
          <w:szCs w:val="24"/>
        </w:rPr>
        <w:t>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сентябре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года.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итогам опроса</w:t>
      </w:r>
      <w:r w:rsidR="0036276D">
        <w:rPr>
          <w:rFonts w:hAnsi="Times New Roman" w:cs="Times New Roman"/>
          <w:color w:val="000000"/>
          <w:sz w:val="24"/>
          <w:szCs w:val="24"/>
          <w:lang w:val="ru-RU"/>
        </w:rPr>
        <w:t xml:space="preserve"> 285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357 родителей выявили, что </w:t>
      </w:r>
      <w:r w:rsidR="008718CB">
        <w:rPr>
          <w:rFonts w:hAnsi="Times New Roman" w:cs="Times New Roman"/>
          <w:color w:val="000000"/>
          <w:sz w:val="24"/>
          <w:szCs w:val="24"/>
          <w:lang w:val="ru-RU"/>
        </w:rPr>
        <w:t>научно-познавательное</w:t>
      </w:r>
      <w:r w:rsidR="008718CB"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направление выбрало 57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процентов, </w:t>
      </w:r>
      <w:r w:rsidR="008718CB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процентов, техническое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процентов, художественное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процентов, </w:t>
      </w:r>
      <w:r w:rsidR="008718CB">
        <w:rPr>
          <w:rFonts w:hAnsi="Times New Roman" w:cs="Times New Roman"/>
          <w:color w:val="000000"/>
          <w:sz w:val="24"/>
          <w:szCs w:val="24"/>
          <w:lang w:val="ru-RU"/>
        </w:rPr>
        <w:t>общественно-полезное</w:t>
      </w:r>
      <w:r w:rsidR="008718CB"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2020/2021 учебного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первой половине 2021/2022 учебного года пришлось периодически проводить дистанционные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дополнительного образования. </w:t>
      </w:r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Учет родительского мнения показал, что почти половина родителей (законных представителей)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удовлетворены подобным форматом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 образованию.</w:t>
      </w:r>
      <w:proofErr w:type="gramEnd"/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Анализ данных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посещению детьми занятий дополнительного образования показывает снижение показателя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охвату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дистанционный режим, особенно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программам технической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физкультурно-спортивной направленности, что является закономерным. Тем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proofErr w:type="gram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опрос родителей (законных представителей)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сентябре 2021 года показал, что большая часть опрошенных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2A60F3" w:rsidRDefault="0096261B">
      <w:r>
        <w:rPr>
          <w:noProof/>
          <w:lang w:val="ru-RU" w:eastAsia="ru-RU"/>
        </w:rPr>
        <w:drawing>
          <wp:inline distT="0" distB="0" distL="0" distR="0">
            <wp:extent cx="5732144" cy="4158614"/>
            <wp:effectExtent l="0" t="0" r="0" b="0"/>
            <wp:docPr id="1" name="Picture 1" descr="/api/doc/v1/image/-32285367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2285367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415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0F3" w:rsidRDefault="002A60F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A60F3" w:rsidRPr="0096261B" w:rsidRDefault="009626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2A60F3" w:rsidRDefault="0096261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4"/>
        <w:gridCol w:w="7103"/>
      </w:tblGrid>
      <w:tr w:rsidR="002A6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2A60F3" w:rsidRPr="00962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96261B" w:rsidRDefault="0096261B">
            <w:pPr>
              <w:rPr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A6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2A60F3" w:rsidRDefault="0096261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2A60F3" w:rsidRDefault="0096261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2A60F3" w:rsidRDefault="0096261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2A6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96261B" w:rsidRDefault="009626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2A60F3" w:rsidRDefault="0096261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60F3" w:rsidRDefault="0096261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2A60F3" w:rsidRDefault="0096261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2A60F3" w:rsidRPr="0096261B" w:rsidRDefault="0096261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2A60F3" w:rsidRPr="0096261B" w:rsidRDefault="0096261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2A60F3" w:rsidRPr="0096261B" w:rsidRDefault="0096261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2A60F3" w:rsidRDefault="0096261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2A60F3" w:rsidRPr="00962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96261B" w:rsidRDefault="009626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2A60F3" w:rsidRPr="0096261B" w:rsidRDefault="009626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2A60F3" w:rsidRPr="0096261B" w:rsidRDefault="009626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2A60F3" w:rsidRPr="0096261B" w:rsidRDefault="009626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2A60F3" w:rsidRPr="0096261B" w:rsidRDefault="0096261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2A60F3" w:rsidRDefault="002A60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2B3E" w:rsidRDefault="00D22B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2B3E" w:rsidRDefault="00D22B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2B3E" w:rsidRPr="0096261B" w:rsidRDefault="00D22B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0F3" w:rsidRPr="0096261B" w:rsidRDefault="009626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2A60F3" w:rsidRDefault="0096261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2018–2021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2"/>
        <w:gridCol w:w="3462"/>
        <w:gridCol w:w="1202"/>
        <w:gridCol w:w="1202"/>
        <w:gridCol w:w="1202"/>
        <w:gridCol w:w="1517"/>
      </w:tblGrid>
      <w:tr w:rsidR="002A6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2021 года</w:t>
            </w:r>
          </w:p>
        </w:tc>
      </w:tr>
      <w:tr w:rsidR="0014550E" w:rsidTr="0014550E">
        <w:trPr>
          <w:trHeight w:val="7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Default="001455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Pr="0014550E" w:rsidRDefault="0014550E">
            <w:pPr>
              <w:rPr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Pr="0014550E" w:rsidRDefault="0014550E" w:rsidP="001455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Pr="0014550E" w:rsidRDefault="001455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Pr="0014550E" w:rsidRDefault="001455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Pr="0014550E" w:rsidRDefault="001455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365</w:t>
            </w:r>
          </w:p>
        </w:tc>
      </w:tr>
      <w:tr w:rsidR="0014550E" w:rsidRPr="0096261B" w:rsidTr="006D24B8">
        <w:trPr>
          <w:trHeight w:val="53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Default="001455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Pr="0096261B" w:rsidRDefault="0014550E" w:rsidP="00CD297E">
            <w:pPr>
              <w:rPr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Pr="0096261B" w:rsidRDefault="001455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Pr="0096261B" w:rsidRDefault="001455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Pr="0014550E" w:rsidRDefault="0014550E" w:rsidP="00C13F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Default="0014550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  <w:p w:rsidR="0014550E" w:rsidRPr="0014550E" w:rsidRDefault="0014550E" w:rsidP="006D24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550E" w:rsidTr="0014550E">
        <w:trPr>
          <w:trHeight w:val="5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Pr="0096261B" w:rsidRDefault="001455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Pr="0014550E" w:rsidRDefault="0014550E" w:rsidP="00CD297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Default="0014550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  <w:p w:rsidR="0014550E" w:rsidRPr="0014550E" w:rsidRDefault="0014550E" w:rsidP="0014550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Default="0014550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  <w:p w:rsidR="0014550E" w:rsidRPr="0014550E" w:rsidRDefault="0014550E" w:rsidP="0014550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Default="0014550E" w:rsidP="00C13FD8"/>
        </w:tc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50E" w:rsidRDefault="0014550E" w:rsidP="006D24B8"/>
        </w:tc>
      </w:tr>
    </w:tbl>
    <w:p w:rsidR="0014550E" w:rsidRDefault="001455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Школе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было.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2A60F3" w:rsidRDefault="0096261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4"/>
        <w:gridCol w:w="706"/>
        <w:gridCol w:w="601"/>
        <w:gridCol w:w="739"/>
        <w:gridCol w:w="925"/>
        <w:gridCol w:w="493"/>
        <w:gridCol w:w="1266"/>
        <w:gridCol w:w="577"/>
        <w:gridCol w:w="400"/>
        <w:gridCol w:w="450"/>
        <w:gridCol w:w="567"/>
        <w:gridCol w:w="425"/>
        <w:gridCol w:w="737"/>
        <w:gridCol w:w="427"/>
      </w:tblGrid>
      <w:tr w:rsidR="002A60F3" w:rsidTr="0014550E">
        <w:trPr>
          <w:trHeight w:val="307"/>
        </w:trPr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2A60F3" w:rsidTr="0014550E">
        <w:trPr>
          <w:trHeight w:val="307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2A60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2A60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2A60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2A60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2A60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2A60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0F3" w:rsidTr="0014550E">
        <w:trPr>
          <w:trHeight w:val="433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2A60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2A60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5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F62FC" w:rsidTr="0014550E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Pr="00996585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Pr="00996585" w:rsidRDefault="00FF62FC" w:rsidP="001907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Pr="00D652FD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Pr="00D652FD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Pr="00D652FD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62FC" w:rsidTr="0014550E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Pr="00996585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Pr="00996585" w:rsidRDefault="00FF62FC" w:rsidP="001907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Pr="00D652FD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Pr="00D652FD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62FC" w:rsidTr="0014550E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Pr="00996585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Pr="00996585" w:rsidRDefault="00FF62FC" w:rsidP="001907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Pr="00D652FD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Pr="00D652FD" w:rsidRDefault="00FF62FC" w:rsidP="00D652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2FC" w:rsidRDefault="00FF62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52FD" w:rsidTr="0014550E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2FD" w:rsidRDefault="00D652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2FD" w:rsidRPr="0014550E" w:rsidRDefault="00D652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365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2FD" w:rsidRPr="00FF62FC" w:rsidRDefault="00FF62FC" w:rsidP="001907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365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2FD" w:rsidRDefault="00D652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2FD" w:rsidRPr="00D652FD" w:rsidRDefault="00D652FD" w:rsidP="00D652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2FD" w:rsidRPr="00D652FD" w:rsidRDefault="00D652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2FD" w:rsidRDefault="00D652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2FD" w:rsidRPr="00D652FD" w:rsidRDefault="00D652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2FD" w:rsidRDefault="00D652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2FD" w:rsidRDefault="00D652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2FD" w:rsidRDefault="00D652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2FD" w:rsidRDefault="00D652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2FD" w:rsidRDefault="00D652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2FD" w:rsidRDefault="00D652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Если сравнить результаты освоения </w:t>
      </w:r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начального общего </w:t>
      </w:r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2021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2020 был 50,4%),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12,5%).</w:t>
      </w:r>
      <w:proofErr w:type="gramEnd"/>
    </w:p>
    <w:p w:rsidR="002A60F3" w:rsidRPr="00D85093" w:rsidRDefault="009626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850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для 2–</w:t>
      </w:r>
      <w:r w:rsidR="00D8509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5093">
        <w:rPr>
          <w:rFonts w:hAnsi="Times New Roman" w:cs="Times New Roman"/>
          <w:color w:val="000000"/>
          <w:sz w:val="24"/>
          <w:szCs w:val="24"/>
          <w:lang w:val="ru-RU"/>
        </w:rPr>
        <w:t xml:space="preserve">одну 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="00D85093">
        <w:rPr>
          <w:rFonts w:hAnsi="Times New Roman" w:cs="Times New Roman"/>
          <w:color w:val="000000"/>
          <w:sz w:val="24"/>
          <w:szCs w:val="24"/>
          <w:lang w:val="ru-RU"/>
        </w:rPr>
        <w:t>у.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3.1/2.43598-20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начала работы образовательных организаций города </w:t>
      </w:r>
      <w:r w:rsidR="00D85093">
        <w:rPr>
          <w:rFonts w:hAnsi="Times New Roman" w:cs="Times New Roman"/>
          <w:color w:val="000000"/>
          <w:sz w:val="24"/>
          <w:szCs w:val="24"/>
          <w:lang w:val="ru-RU"/>
        </w:rPr>
        <w:t>Назрань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2021/22 учебном году Школа:</w:t>
      </w:r>
    </w:p>
    <w:p w:rsidR="002A60F3" w:rsidRPr="0096261B" w:rsidRDefault="0096261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уведомила управление Роспотребнадзора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дате начала образовательного процесса;</w:t>
      </w:r>
    </w:p>
    <w:p w:rsidR="002A60F3" w:rsidRPr="0096261B" w:rsidRDefault="0096261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прихода обучающихся, начала/окончания занятий, приема пищи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столовой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таким учетом, чтобы развести потоки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минимизировать контакты учеников;</w:t>
      </w:r>
    </w:p>
    <w:p w:rsidR="002A60F3" w:rsidRDefault="0096261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закрепила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A60F3" w:rsidRPr="0096261B" w:rsidRDefault="0096261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составила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утвердила графики уборки, проветривания кабинетов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рекреаций;</w:t>
      </w:r>
    </w:p>
    <w:p w:rsidR="002A60F3" w:rsidRPr="0096261B" w:rsidRDefault="0096261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разместила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сайте школы необходимую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дополнительно направили ссылки по официальным родительским группам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60F3" w:rsidRPr="0096261B" w:rsidRDefault="0096261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использует при осуществлении образовательного процесса бесконтактные термометры,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два стационарных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главные входы, один ручной,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настенные для каждого кабинета,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устройства для антисептической обработки рук, маски многоразового использования, маски медицинские, перчатки.</w:t>
      </w:r>
    </w:p>
    <w:p w:rsidR="002A60F3" w:rsidRPr="0096261B" w:rsidRDefault="002A60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0F3" w:rsidRPr="0096261B" w:rsidRDefault="002A60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0F3" w:rsidRPr="0096261B" w:rsidRDefault="009626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D85093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D850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них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человек имеет среднее специальное образование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обучается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вузе.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2021 году аттестацию прошли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— обеспечение 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2A60F3" w:rsidRPr="0096261B" w:rsidRDefault="0096261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2A60F3" w:rsidRPr="0096261B" w:rsidRDefault="0096261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2A60F3" w:rsidRDefault="0096261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2A60F3" w:rsidRPr="0096261B" w:rsidRDefault="0096261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2A60F3" w:rsidRPr="0096261B" w:rsidRDefault="0096261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 w:rsidR="00D850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2A60F3" w:rsidRPr="0096261B" w:rsidRDefault="0096261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дистанционного обучения все педагоги Школы успешно освоили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онлайн-сервисы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, применяли цифровые образовательные ресурсы, вели электронные формы документации,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электронный журнал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дневники учеников.</w:t>
      </w:r>
      <w:r w:rsidRPr="0096261B">
        <w:rPr>
          <w:lang w:val="ru-RU"/>
        </w:rPr>
        <w:br/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25% педагогов прошли </w:t>
      </w:r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proofErr w:type="gram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дистанционного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объеме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часов. Семь педагогов приняли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записи уроков для трансляции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региональном телевизионном канале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рамках проекта «Открытые уроки».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педагогов прошли повышение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освоили учебный курс «Основы компьютерной грамотности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ИКТ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решении профессиональных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условиях пандемии»,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онлайн-курс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повышения квалификации «Современные образовательные информационные технологии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EdTech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работе учителя»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foxford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курс Института ЮНЕСКО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информационным технологиям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образовании «Методика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электронных презентаций».</w:t>
      </w:r>
      <w:proofErr w:type="gramEnd"/>
    </w:p>
    <w:p w:rsidR="002A60F3" w:rsidRPr="0096261B" w:rsidRDefault="002A60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0F3" w:rsidRPr="0096261B" w:rsidRDefault="009626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2A60F3" w:rsidRDefault="0096261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A60F3" w:rsidRDefault="0096261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библиотечного фонда — 5721 единица;</w:t>
      </w:r>
    </w:p>
    <w:p w:rsidR="002A60F3" w:rsidRDefault="0096261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D85093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A60F3" w:rsidRDefault="0096261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 — 3578 единиц в год;</w:t>
      </w:r>
    </w:p>
    <w:p w:rsidR="002A60F3" w:rsidRDefault="0096261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 — 3131 единица.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</w:t>
      </w:r>
      <w:r w:rsidR="00D8509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местного бюджетов.</w:t>
      </w:r>
    </w:p>
    <w:p w:rsidR="002A60F3" w:rsidRDefault="0096261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1863"/>
        <w:gridCol w:w="3019"/>
        <w:gridCol w:w="2358"/>
      </w:tblGrid>
      <w:tr w:rsidR="002A60F3" w:rsidRPr="009626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96261B" w:rsidRDefault="0096261B">
            <w:pPr>
              <w:rPr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96261B">
              <w:rPr>
                <w:lang w:val="ru-RU"/>
              </w:rPr>
              <w:br/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2A6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2A6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A6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</w:tbl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20.05.2020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254.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2A60F3" w:rsidRPr="0096261B" w:rsidRDefault="002A60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0F3" w:rsidRPr="0096261B" w:rsidRDefault="009626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D85093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учебных кабинет</w:t>
      </w:r>
      <w:r w:rsidR="00D8509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85093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 w:rsidR="00D8509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2A60F3" w:rsidRDefault="00D8509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интерактивные доски</w:t>
      </w:r>
    </w:p>
    <w:p w:rsidR="00D85093" w:rsidRPr="0096261B" w:rsidRDefault="00D8509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проекторы 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5093">
        <w:rPr>
          <w:rFonts w:hAnsi="Times New Roman" w:cs="Times New Roman"/>
          <w:color w:val="000000"/>
          <w:sz w:val="24"/>
          <w:szCs w:val="24"/>
          <w:lang w:val="ru-RU"/>
        </w:rPr>
        <w:t>третьем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оборудован актовый зал.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этаже </w:t>
      </w:r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новому учебному году школа провела закупку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дооснастила помещения пищеблока новым оборудованием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1.2.3685-21,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складе пищеблока установили психрометр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три холодильных шкафа.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горячем цеху установили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пароконвектомат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. Оборудовали комнату приема пищи работников пищеблока производственным столом, электроплитой, среднетемпературным холодильным шкафом, стеллажом, моечной ванной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раковиной для мытья рук.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результате самообследования сравнили оснащения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590.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итогам сравнения можно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выводу, что Школе необходимо закупить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установить следующее оборудование, инвентарь:</w:t>
      </w:r>
    </w:p>
    <w:p w:rsidR="002A60F3" w:rsidRPr="0096261B" w:rsidRDefault="0096261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рекреациях: стол модульный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высоте, стул ученический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высоте, интерактивную стойку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встроенным планшетом, ЖК-панель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медиаплеером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60F3" w:rsidRPr="0096261B" w:rsidRDefault="0096261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спортзале: скакалки, мяч набивной (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медбол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степ-платформы</w:t>
      </w:r>
      <w:proofErr w:type="spellEnd"/>
      <w:proofErr w:type="gram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, снаряды для функционального тренинга, дуги для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подлезания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, коврики гимнастические, палки гимнастические утяжеленные (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бодибары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), стойку для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бодибаров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60F3" w:rsidRPr="0096261B" w:rsidRDefault="002A60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0F3" w:rsidRPr="0096261B" w:rsidRDefault="009626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выявлено, что уровень метапредметных результатов соответствуют среднему уровню, </w:t>
      </w:r>
      <w:proofErr w:type="spell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62FC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2021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2021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анкетирования. Преимущества дистанционного </w:t>
      </w:r>
      <w:proofErr w:type="gramStart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2A60F3" w:rsidRDefault="0096261B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3418837"/>
            <wp:effectExtent l="0" t="0" r="0" b="0"/>
            <wp:docPr id="2" name="Picture 2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0F3" w:rsidRDefault="002A60F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A60F3" w:rsidRPr="0096261B" w:rsidRDefault="009626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декабря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35"/>
        <w:gridCol w:w="1609"/>
        <w:gridCol w:w="1433"/>
      </w:tblGrid>
      <w:tr w:rsidR="002A6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2A60F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2A6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FF62FC" w:rsidRDefault="00FF62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365</w:t>
            </w:r>
          </w:p>
        </w:tc>
      </w:tr>
      <w:tr w:rsidR="002A6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96261B" w:rsidRDefault="0096261B">
            <w:pPr>
              <w:rPr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FF62FC" w:rsidRDefault="0096261B" w:rsidP="00FF62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FF6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2A6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Pr="0096261B" w:rsidRDefault="0096261B">
            <w:pPr>
              <w:rPr>
                <w:lang w:val="ru-RU"/>
              </w:rPr>
            </w:pP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9626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0F3" w:rsidRDefault="00FF62F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9626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="00FF62FC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</w:t>
      </w:r>
      <w:r w:rsidR="00FF62F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бразования.</w:t>
      </w:r>
    </w:p>
    <w:p w:rsidR="002A60F3" w:rsidRPr="0096261B" w:rsidRDefault="009626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61B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2A60F3" w:rsidRPr="0096261B" w:rsidSect="002A60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2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051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65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72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64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E2A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434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93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70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DB73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46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07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E67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4550E"/>
    <w:rsid w:val="002A60F3"/>
    <w:rsid w:val="002D33B1"/>
    <w:rsid w:val="002D3591"/>
    <w:rsid w:val="003514A0"/>
    <w:rsid w:val="0036276D"/>
    <w:rsid w:val="004F7E17"/>
    <w:rsid w:val="005A05CE"/>
    <w:rsid w:val="005E3DD9"/>
    <w:rsid w:val="00653AF6"/>
    <w:rsid w:val="008718CB"/>
    <w:rsid w:val="0096261B"/>
    <w:rsid w:val="00996585"/>
    <w:rsid w:val="00B73A5A"/>
    <w:rsid w:val="00D22B3E"/>
    <w:rsid w:val="00D652FD"/>
    <w:rsid w:val="00D85093"/>
    <w:rsid w:val="00E438A1"/>
    <w:rsid w:val="00F01E19"/>
    <w:rsid w:val="00F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626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</dc:creator>
  <dc:description>Подготовлено экспертами Актион-МЦФЭР</dc:description>
  <cp:lastModifiedBy>PC13</cp:lastModifiedBy>
  <cp:revision>3</cp:revision>
  <cp:lastPrinted>2023-01-26T09:05:00Z</cp:lastPrinted>
  <dcterms:created xsi:type="dcterms:W3CDTF">2023-01-26T08:11:00Z</dcterms:created>
  <dcterms:modified xsi:type="dcterms:W3CDTF">2023-01-26T09:05:00Z</dcterms:modified>
</cp:coreProperties>
</file>